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6"/>
          <w:szCs w:val="36"/>
        </w:rPr>
      </w:pPr>
    </w:p>
    <w:p>
      <w:pPr>
        <w:jc w:val="center"/>
        <w:rPr>
          <w:rFonts w:hint="eastAsia" w:ascii="黑体" w:hAnsi="黑体" w:eastAsia="黑体" w:cs="黑体"/>
          <w:sz w:val="36"/>
          <w:szCs w:val="36"/>
        </w:rPr>
      </w:pPr>
      <w:r>
        <w:rPr>
          <w:rFonts w:hint="eastAsia" w:ascii="黑体" w:hAnsi="黑体" w:eastAsia="黑体" w:cs="黑体"/>
          <w:sz w:val="36"/>
          <w:szCs w:val="36"/>
        </w:rPr>
        <w:t>中联重科集团财务有限公司202</w:t>
      </w:r>
      <w:r>
        <w:rPr>
          <w:rFonts w:hint="eastAsia" w:ascii="黑体" w:hAnsi="黑体" w:eastAsia="黑体" w:cs="黑体"/>
          <w:sz w:val="36"/>
          <w:szCs w:val="36"/>
          <w:lang w:val="en-US" w:eastAsia="zh-CN"/>
        </w:rPr>
        <w:t>4</w:t>
      </w:r>
      <w:r>
        <w:rPr>
          <w:rFonts w:hint="eastAsia" w:ascii="黑体" w:hAnsi="黑体" w:eastAsia="黑体" w:cs="黑体"/>
          <w:sz w:val="36"/>
          <w:szCs w:val="36"/>
        </w:rPr>
        <w:t>年第一季度第三支柱信息披露报告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公司适用第二档非上市银行信息披露及其过渡期要求，根据《商业银行资本管理办法》（以下简称“办法”）附件22《商业银行信息披露内容和要求》、国家金融监督管理总局关于实施《商业银行资本管理办法》相关事项的通知（金规[2023]9号，以下简称“通知”）的规定，公司披露2024年第一季度第三支柱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2024年第一季度公司需披露报表如下：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KMI监管并表关键审慎监管指标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单位：人民币万元</w:t>
      </w:r>
    </w:p>
    <w:tbl>
      <w:tblPr>
        <w:tblStyle w:val="2"/>
        <w:tblW w:w="4998"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4371"/>
        <w:gridCol w:w="1756"/>
        <w:gridCol w:w="1756"/>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3143" w:type="pct"/>
            <w:gridSpan w:val="2"/>
            <w:tcBorders>
              <w:lef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项目</w:t>
            </w:r>
          </w:p>
        </w:tc>
        <w:tc>
          <w:tcPr>
            <w:tcW w:w="928" w:type="pct"/>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2024年3月31日</w:t>
            </w:r>
          </w:p>
        </w:tc>
        <w:tc>
          <w:tcPr>
            <w:tcW w:w="928" w:type="pct"/>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2023年12月31日</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核心一级资本净额</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228973.65</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225192.86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2</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一级资本</w:t>
            </w:r>
            <w:r>
              <w:rPr>
                <w:rFonts w:hint="eastAsia" w:ascii="仿宋_GB2312" w:hAnsi="仿宋" w:eastAsia="仿宋_GB2312" w:cs="Arial Unicode MS"/>
                <w:color w:val="000000" w:themeColor="text1"/>
                <w:sz w:val="28"/>
                <w:szCs w:val="28"/>
                <w:lang w:eastAsia="zh-CN"/>
                <w14:textFill>
                  <w14:solidFill>
                    <w14:schemeClr w14:val="tx1"/>
                  </w14:solidFill>
                </w14:textFill>
              </w:rPr>
              <w:t>净额</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228973.65</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225192.86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3</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资本</w:t>
            </w:r>
            <w:r>
              <w:rPr>
                <w:rFonts w:hint="eastAsia" w:ascii="仿宋_GB2312" w:hAnsi="仿宋" w:eastAsia="仿宋_GB2312" w:cs="Arial Unicode MS"/>
                <w:color w:val="000000" w:themeColor="text1"/>
                <w:sz w:val="28"/>
                <w:szCs w:val="28"/>
                <w:lang w:eastAsia="zh-CN"/>
                <w14:textFill>
                  <w14:solidFill>
                    <w14:schemeClr w14:val="tx1"/>
                  </w14:solidFill>
                </w14:textFill>
              </w:rPr>
              <w:t>净额</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235372.03</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234533.87</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4</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风险加权资产</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539814.26</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778166.98</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5</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核心一级资本充足率（</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42.42%</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28.94%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6</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一级资本充足率（</w:t>
            </w:r>
            <w:r>
              <w:rPr>
                <w:rFonts w:ascii="仿宋_GB2312" w:hAnsi="仿宋" w:eastAsia="仿宋_GB2312" w:cs="Arial Unicode MS"/>
                <w:color w:val="000000" w:themeColor="text1"/>
                <w:sz w:val="28"/>
                <w:szCs w:val="28"/>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42.42%</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28.94%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7</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资本充足率（</w:t>
            </w:r>
            <w:r>
              <w:rPr>
                <w:rFonts w:ascii="仿宋_GB2312" w:hAnsi="仿宋" w:eastAsia="仿宋_GB2312" w:cs="Arial Unicode MS"/>
                <w:color w:val="000000" w:themeColor="text1"/>
                <w:sz w:val="28"/>
                <w:szCs w:val="28"/>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43.60%</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30.14%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8</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储备资本要求</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9</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逆周期资本要求（</w:t>
            </w:r>
            <w:r>
              <w:rPr>
                <w:rFonts w:ascii="仿宋_GB2312" w:hAnsi="仿宋" w:eastAsia="仿宋_GB2312" w:cs="Arial Unicode MS"/>
                <w:color w:val="000000" w:themeColor="text1"/>
                <w:sz w:val="28"/>
                <w:szCs w:val="28"/>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73" w:type="pct"/>
            <w:tcBorders>
              <w:left w:val="single" w:color="auto" w:sz="4" w:space="0"/>
            </w:tcBorders>
            <w:shd w:val="clear" w:color="auto" w:fill="auto"/>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10</w:t>
            </w:r>
          </w:p>
        </w:tc>
        <w:tc>
          <w:tcPr>
            <w:tcW w:w="2769" w:type="pct"/>
            <w:shd w:val="clear" w:color="auto" w:fill="auto"/>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全球系统重要性银行或国内系统重要性银行附加资本要求（</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p>
        </w:tc>
        <w:tc>
          <w:tcPr>
            <w:tcW w:w="928" w:type="pct"/>
            <w:tcBorders>
              <w:right w:val="single" w:color="auto" w:sz="4" w:space="0"/>
            </w:tcBorders>
            <w:shd w:val="clear" w:color="auto" w:fill="BEBEBE"/>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11</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其他各级资本要求（</w:t>
            </w:r>
            <w:r>
              <w:rPr>
                <w:rFonts w:ascii="仿宋_GB2312" w:hAnsi="仿宋" w:eastAsia="仿宋_GB2312" w:cs="Arial Unicode MS"/>
                <w:color w:val="000000" w:themeColor="text1"/>
                <w:sz w:val="28"/>
                <w:szCs w:val="28"/>
                <w:lang w:eastAsia="zh-CN"/>
                <w14:textFill>
                  <w14:solidFill>
                    <w14:schemeClr w14:val="tx1"/>
                  </w14:solidFill>
                </w14:textFill>
              </w:rPr>
              <w:t>%）（8+9+10）</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2.50%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12</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满足最低资本要求后的可用核心一级资本净额占风险加权资产的比例（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34.42%</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20.94%</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13</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调整后表内外资产余额</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1289726.571</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1903779.646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14</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杠杆率</w:t>
            </w:r>
            <w:r>
              <w:rPr>
                <w:rFonts w:hint="eastAsia" w:ascii="仿宋_GB2312" w:hAnsi="仿宋" w:eastAsia="仿宋_GB2312" w:cs="Arial Unicode MS"/>
                <w:color w:val="000000" w:themeColor="text1"/>
                <w:sz w:val="28"/>
                <w:szCs w:val="28"/>
                <w:lang w:eastAsia="zh-CN"/>
                <w14:textFill>
                  <w14:solidFill>
                    <w14:schemeClr w14:val="tx1"/>
                  </w14:solidFill>
                </w14:textFill>
              </w:rPr>
              <w:t>（</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17.75%</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11.83%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1</w:t>
            </w:r>
            <w:r>
              <w:rPr>
                <w:rFonts w:ascii="仿宋_GB2312" w:hAnsi="仿宋" w:eastAsia="仿宋_GB2312" w:cs="Arial Unicode MS"/>
                <w:color w:val="000000" w:themeColor="text1"/>
                <w:sz w:val="28"/>
                <w:szCs w:val="28"/>
                <w:lang w:eastAsia="zh-CN"/>
                <w14:textFill>
                  <w14:solidFill>
                    <w14:schemeClr w14:val="tx1"/>
                  </w14:solidFill>
                </w14:textFill>
              </w:rPr>
              <w:t>4</w:t>
            </w:r>
            <w:r>
              <w:rPr>
                <w:rFonts w:hint="eastAsia" w:ascii="仿宋_GB2312" w:hAnsi="仿宋" w:eastAsia="仿宋_GB2312" w:cs="Arial Unicode MS"/>
                <w:color w:val="000000" w:themeColor="text1"/>
                <w:sz w:val="28"/>
                <w:szCs w:val="28"/>
                <w:lang w:eastAsia="zh-CN"/>
                <w14:textFill>
                  <w14:solidFill>
                    <w14:schemeClr w14:val="tx1"/>
                  </w14:solidFill>
                </w14:textFill>
              </w:rPr>
              <w:t>a</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杠杆率a</w:t>
            </w:r>
            <w:r>
              <w:rPr>
                <w:rFonts w:hint="eastAsia" w:ascii="仿宋_GB2312" w:hAnsi="仿宋" w:eastAsia="仿宋_GB2312" w:cs="Arial Unicode MS"/>
                <w:color w:val="000000" w:themeColor="text1"/>
                <w:sz w:val="28"/>
                <w:szCs w:val="28"/>
                <w:lang w:eastAsia="zh-CN"/>
                <w14:textFill>
                  <w14:solidFill>
                    <w14:schemeClr w14:val="tx1"/>
                  </w14:solidFill>
                </w14:textFill>
              </w:rPr>
              <w:t>（</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17.75%</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11.83%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15</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合格优质流动性资产</w:t>
            </w:r>
          </w:p>
        </w:tc>
        <w:tc>
          <w:tcPr>
            <w:tcW w:w="928" w:type="pct"/>
            <w:tcBorders>
              <w:right w:val="single" w:color="auto" w:sz="4" w:space="0"/>
            </w:tcBorders>
            <w:vAlign w:val="center"/>
          </w:tcPr>
          <w:p>
            <w:pPr>
              <w:snapToGrid w:val="0"/>
              <w:spacing w:line="480" w:lineRule="exact"/>
              <w:jc w:val="center"/>
              <w:rPr>
                <w:rFonts w:hint="default"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16</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现金净流出</w:t>
            </w:r>
            <w:r>
              <w:rPr>
                <w:rFonts w:hint="eastAsia" w:ascii="仿宋_GB2312" w:hAnsi="仿宋" w:eastAsia="仿宋_GB2312" w:cs="Arial Unicode MS"/>
                <w:color w:val="000000" w:themeColor="text1"/>
                <w:sz w:val="28"/>
                <w:szCs w:val="28"/>
                <w:lang w:eastAsia="zh-CN"/>
                <w14:textFill>
                  <w14:solidFill>
                    <w14:schemeClr w14:val="tx1"/>
                  </w14:solidFill>
                </w14:textFill>
              </w:rPr>
              <w:t>量</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17</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流动性覆盖率（</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18</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14:textFill>
                  <w14:solidFill>
                    <w14:schemeClr w14:val="tx1"/>
                  </w14:solidFill>
                </w14:textFill>
              </w:rPr>
              <w:t>可用稳定资金</w:t>
            </w:r>
            <w:r>
              <w:rPr>
                <w:rFonts w:hint="eastAsia" w:ascii="仿宋_GB2312" w:hAnsi="仿宋" w:eastAsia="仿宋_GB2312" w:cs="Arial Unicode MS"/>
                <w:color w:val="000000" w:themeColor="text1"/>
                <w:sz w:val="28"/>
                <w:szCs w:val="28"/>
                <w:lang w:eastAsia="zh-CN"/>
                <w14:textFill>
                  <w14:solidFill>
                    <w14:schemeClr w14:val="tx1"/>
                  </w14:solidFill>
                </w14:textFill>
              </w:rPr>
              <w:t>合计</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19</w:t>
            </w:r>
          </w:p>
        </w:tc>
        <w:tc>
          <w:tcPr>
            <w:tcW w:w="2769" w:type="pct"/>
            <w:vAlign w:val="center"/>
          </w:tcPr>
          <w:p>
            <w:pPr>
              <w:snapToGrid w:val="0"/>
              <w:spacing w:line="480" w:lineRule="exact"/>
              <w:rPr>
                <w:rFonts w:ascii="仿宋_GB2312" w:hAnsi="仿宋" w:eastAsia="仿宋_GB2312" w:cs="Arial Unicode MS"/>
                <w:color w:val="000000" w:themeColor="text1"/>
                <w:sz w:val="28"/>
                <w:szCs w:val="28"/>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所需</w:t>
            </w:r>
            <w:r>
              <w:rPr>
                <w:rFonts w:hint="eastAsia" w:ascii="仿宋_GB2312" w:hAnsi="仿宋" w:eastAsia="仿宋_GB2312" w:cs="Arial Unicode MS"/>
                <w:color w:val="000000" w:themeColor="text1"/>
                <w:sz w:val="28"/>
                <w:szCs w:val="28"/>
                <w14:textFill>
                  <w14:solidFill>
                    <w14:schemeClr w14:val="tx1"/>
                  </w14:solidFill>
                </w14:textFill>
              </w:rPr>
              <w:t>稳定资金</w:t>
            </w:r>
            <w:r>
              <w:rPr>
                <w:rFonts w:hint="eastAsia" w:ascii="仿宋_GB2312" w:hAnsi="仿宋" w:eastAsia="仿宋_GB2312" w:cs="Arial Unicode MS"/>
                <w:color w:val="000000" w:themeColor="text1"/>
                <w:sz w:val="28"/>
                <w:szCs w:val="28"/>
                <w:lang w:eastAsia="zh-CN"/>
                <w14:textFill>
                  <w14:solidFill>
                    <w14:schemeClr w14:val="tx1"/>
                  </w14:solidFill>
                </w14:textFill>
              </w:rPr>
              <w:t>合计</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vAlign w:val="center"/>
          </w:tcPr>
          <w:p>
            <w:pPr>
              <w:snapToGrid w:val="0"/>
              <w:spacing w:line="480" w:lineRule="exact"/>
              <w:jc w:val="center"/>
              <w:rPr>
                <w:rFonts w:ascii="仿宋_GB2312" w:hAnsi="仿宋" w:eastAsia="仿宋_GB2312" w:cs="Arial Unicode MS"/>
                <w:color w:val="000000" w:themeColor="text1"/>
                <w:sz w:val="28"/>
                <w:szCs w:val="28"/>
                <w14:textFill>
                  <w14:solidFill>
                    <w14:schemeClr w14:val="tx1"/>
                  </w14:solidFill>
                </w14:textFill>
              </w:rPr>
            </w:pPr>
            <w:r>
              <w:rPr>
                <w:rFonts w:ascii="仿宋_GB2312" w:hAnsi="仿宋" w:eastAsia="仿宋_GB2312" w:cs="Arial Unicode MS"/>
                <w:color w:val="000000" w:themeColor="text1"/>
                <w:sz w:val="28"/>
                <w:szCs w:val="28"/>
                <w14:textFill>
                  <w14:solidFill>
                    <w14:schemeClr w14:val="tx1"/>
                  </w14:solidFill>
                </w14:textFill>
              </w:rPr>
              <w:t>20</w:t>
            </w:r>
          </w:p>
        </w:tc>
        <w:tc>
          <w:tcPr>
            <w:tcW w:w="2769" w:type="pct"/>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净稳定资金比例（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c>
          <w:tcPr>
            <w:tcW w:w="928" w:type="pct"/>
            <w:tcBorders>
              <w:right w:val="single" w:color="auto" w:sz="4" w:space="0"/>
            </w:tcBorders>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不适用</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373" w:type="pct"/>
            <w:tcBorders>
              <w:left w:val="single" w:color="auto" w:sz="4" w:space="0"/>
            </w:tcBorders>
            <w:shd w:val="clear" w:color="auto" w:fill="FFFFFF"/>
            <w:vAlign w:val="center"/>
          </w:tcPr>
          <w:p>
            <w:pPr>
              <w:snapToGrid w:val="0"/>
              <w:spacing w:line="480" w:lineRule="exact"/>
              <w:jc w:val="center"/>
              <w:rPr>
                <w:rFonts w:ascii="仿宋_GB2312" w:hAnsi="仿宋" w:eastAsia="仿宋_GB2312" w:cs="Arial Unicode MS"/>
                <w:color w:val="000000" w:themeColor="text1"/>
                <w:sz w:val="28"/>
                <w:szCs w:val="28"/>
                <w:lang w:eastAsia="zh-CN"/>
                <w14:textFill>
                  <w14:solidFill>
                    <w14:schemeClr w14:val="tx1"/>
                  </w14:solidFill>
                </w14:textFill>
              </w:rPr>
            </w:pPr>
            <w:r>
              <w:rPr>
                <w:rFonts w:ascii="仿宋_GB2312" w:hAnsi="仿宋" w:eastAsia="仿宋_GB2312" w:cs="Arial Unicode MS"/>
                <w:color w:val="000000" w:themeColor="text1"/>
                <w:sz w:val="28"/>
                <w:szCs w:val="28"/>
                <w:lang w:eastAsia="zh-CN"/>
                <w14:textFill>
                  <w14:solidFill>
                    <w14:schemeClr w14:val="tx1"/>
                  </w14:solidFill>
                </w14:textFill>
              </w:rPr>
              <w:t>21</w:t>
            </w:r>
          </w:p>
        </w:tc>
        <w:tc>
          <w:tcPr>
            <w:tcW w:w="2769" w:type="pct"/>
            <w:shd w:val="clear" w:color="auto" w:fill="FFFFFF"/>
            <w:vAlign w:val="center"/>
          </w:tcPr>
          <w:p>
            <w:pPr>
              <w:snapToGrid w:val="0"/>
              <w:spacing w:line="480" w:lineRule="exact"/>
              <w:rPr>
                <w:rFonts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eastAsia="zh-CN"/>
                <w14:textFill>
                  <w14:solidFill>
                    <w14:schemeClr w14:val="tx1"/>
                  </w14:solidFill>
                </w14:textFill>
              </w:rPr>
              <w:t>流动性比例（</w:t>
            </w:r>
            <w:r>
              <w:rPr>
                <w:rFonts w:ascii="仿宋_GB2312" w:hAnsi="仿宋" w:eastAsia="仿宋_GB2312" w:cs="Arial Unicode MS"/>
                <w:color w:val="000000" w:themeColor="text1"/>
                <w:sz w:val="28"/>
                <w:szCs w:val="28"/>
                <w:lang w:eastAsia="zh-CN"/>
                <w14:textFill>
                  <w14:solidFill>
                    <w14:schemeClr w14:val="tx1"/>
                  </w14:solidFill>
                </w14:textFill>
              </w:rPr>
              <w:t>%）</w:t>
            </w:r>
          </w:p>
        </w:tc>
        <w:tc>
          <w:tcPr>
            <w:tcW w:w="928" w:type="pct"/>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73.80%</w:t>
            </w:r>
          </w:p>
        </w:tc>
        <w:tc>
          <w:tcPr>
            <w:tcW w:w="928" w:type="pct"/>
            <w:tcBorders>
              <w:right w:val="single" w:color="auto" w:sz="4" w:space="0"/>
            </w:tcBorders>
            <w:shd w:val="clear" w:color="auto" w:fill="FFFFFF"/>
            <w:vAlign w:val="center"/>
          </w:tcPr>
          <w:p>
            <w:pPr>
              <w:snapToGrid w:val="0"/>
              <w:spacing w:line="480" w:lineRule="exact"/>
              <w:jc w:val="center"/>
              <w:rPr>
                <w:rFonts w:hint="eastAsia" w:ascii="仿宋_GB2312" w:hAnsi="仿宋" w:eastAsia="仿宋_GB2312" w:cs="Arial Unicode MS"/>
                <w:color w:val="000000" w:themeColor="text1"/>
                <w:sz w:val="28"/>
                <w:szCs w:val="28"/>
                <w:lang w:val="en-US" w:eastAsia="zh-CN"/>
                <w14:textFill>
                  <w14:solidFill>
                    <w14:schemeClr w14:val="tx1"/>
                  </w14:solidFill>
                </w14:textFill>
              </w:rPr>
            </w:pPr>
            <w:r>
              <w:rPr>
                <w:rFonts w:hint="eastAsia" w:ascii="仿宋_GB2312" w:hAnsi="仿宋" w:eastAsia="仿宋_GB2312" w:cs="Arial Unicode MS"/>
                <w:color w:val="000000" w:themeColor="text1"/>
                <w:sz w:val="28"/>
                <w:szCs w:val="28"/>
                <w:lang w:val="en-US" w:eastAsia="zh-CN"/>
                <w14:textFill>
                  <w14:solidFill>
                    <w14:schemeClr w14:val="tx1"/>
                  </w14:solidFill>
                </w14:textFill>
              </w:rPr>
              <w:t>77.59%</w:t>
            </w: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根据《商业银行流动性风险管理办法》，15-20项内容涉及的流动性覆盖率、净稳定资金比例为资产规模不小于2000亿元人民币的商业银行应达到的监管指标，本公司不适用。</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2024年一季度资本充足率、杠杆率较年初上升主要因公司贷款和存放同业规模下降所致。</w:t>
      </w: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0"/>
    <w:family w:val="swiss"/>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81AAB6"/>
    <w:multiLevelType w:val="singleLevel"/>
    <w:tmpl w:val="7F81AAB6"/>
    <w:lvl w:ilvl="0" w:tentative="0">
      <w:start w:val="1"/>
      <w:numFmt w:val="decimal"/>
      <w:suff w:val="nothing"/>
      <w:lvlText w:val="%1、"/>
      <w:lvlJc w:val="left"/>
    </w:lvl>
  </w:abstractNum>
  <w:num w:numId="1">
    <w:abstractNumId w:val="0"/>
  </w:num>
</w:numbering>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